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SZWF06BU797A0TTGRGR8DLJZ7ZD0OSGR9J06TJEEXFGRTDLTZDBJDCJTFYYTPC6RXXMXCOL0ZIW78HJJROFAYFFZ8RMMWHWBASOOQHB391ED4E187A4F50D4407E6814D3FED8D2" Type="http://schemas.microsoft.com/office/2006/relationships/officeDocumentMain" Target="docProps/core.xml"/><Relationship Id="CGWMY6BU7RSA0T9GQYRNRL0S7ZQMOYYREJ06WJDUXFG8TGCTZ7BRRCJFFSUHPDIRXFMXSOLSZH5D8HJJQJFAQF8D89Q0WIWB8EODPHB3AE0B33D62AEAA2FA7BDCD4D97CB3AD4C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徽银理财净值型理财产品每周净值公告（2023年09月01日）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09月01日,产品存续份额:128,231,459份，产品当日资产净值:132,455,695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1.031226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1.032378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1.032378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09月01日,产品存续份额:75,629,073份，产品当日资产净值:78,192,608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1.029423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1.029423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09月01日,产品存续份额:233,065,569份，产品当日资产净值:239,151,220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09月01日,产品存续份额:449,746,769份，产品当日资产净值:461,001,776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1.023371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1.023371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09月01日,产品存续份额:13,941,350份，产品当日资产净值:14,282,119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09月01日,产品存续份额:56,862,535份，产品当日资产净值:57,550,076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09月01日,产品存续份额:2,390,000份，产品当日资产净值:2,421,224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09月01日,产品存续份额:31,172,403份，产品当日资产净值:31,496,479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09月01日,产品存续份额:3,550,000份，产品当日资产净值:3,591,048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09月01日,产品存续份额:8,056,277份，产品当日资产净值:8,277,823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09月01日,产品存续份额:34,963,033份，产品当日资产净值:35,697,736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09月01日,产品存续份额:70,552,652份，产品当日资产净值:72,150,971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1.020114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09月01日,产品存续份额:38,340,762份，产品当日资产净值:39,079,515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2023年8月25日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2023年9月1日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2023年09月05日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